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7777777"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B2063A">
        <w:rPr>
          <w:rFonts w:eastAsia="Times New Roman"/>
          <w:szCs w:val="24"/>
          <w:lang w:eastAsia="zh-CN"/>
        </w:rPr>
        <w:t>3</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6080781E" w:rsidR="002533BF" w:rsidRPr="00053CD4" w:rsidRDefault="00A2210F" w:rsidP="00053CD4">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323F9D">
        <w:rPr>
          <w:rFonts w:eastAsia="SimSun"/>
          <w:b/>
          <w:bCs/>
          <w:kern w:val="2"/>
          <w:lang w:eastAsia="zh-CN"/>
        </w:rPr>
        <w:t>Skur</w:t>
      </w:r>
      <w:r w:rsidR="00F97C26">
        <w:rPr>
          <w:rFonts w:eastAsia="SimSun"/>
          <w:b/>
          <w:bCs/>
          <w:kern w:val="2"/>
          <w:lang w:eastAsia="zh-CN"/>
        </w:rPr>
        <w:t>steņu un apkures ierīču remontu</w:t>
      </w:r>
      <w:r w:rsidR="00323F9D">
        <w:rPr>
          <w:rFonts w:eastAsia="SimSun"/>
          <w:b/>
          <w:bCs/>
          <w:kern w:val="2"/>
          <w:lang w:eastAsia="zh-CN"/>
        </w:rPr>
        <w:t xml:space="preserve"> un atjaunošan</w:t>
      </w:r>
      <w:r w:rsidR="00F97C26">
        <w:rPr>
          <w:rFonts w:eastAsia="SimSun"/>
          <w:b/>
          <w:bCs/>
          <w:kern w:val="2"/>
          <w:lang w:eastAsia="zh-CN"/>
        </w:rPr>
        <w:t>u</w:t>
      </w:r>
      <w:bookmarkStart w:id="1" w:name="_GoBack"/>
      <w:bookmarkEnd w:id="1"/>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pievienoto Tehnisko specifikāciju</w:t>
      </w:r>
      <w:r w:rsidR="001E11AD" w:rsidRPr="00053CD4">
        <w:rPr>
          <w:rFonts w:eastAsia="Times New Roman"/>
          <w:szCs w:val="24"/>
        </w:rPr>
        <w:t xml:space="preserve">, </w:t>
      </w:r>
      <w:r w:rsidR="00F97C26">
        <w:rPr>
          <w:rFonts w:eastAsia="SimSun"/>
          <w:b/>
          <w:bCs/>
          <w:kern w:val="2"/>
          <w:lang w:eastAsia="zh-CN"/>
        </w:rPr>
        <w:t>Skolotāju mājā, Snēpeles pagastā, Briljantos un Atpūtās, Kabiles pagastā un Mežmalās, Laidu pagastā, Kuldīgas novadā</w:t>
      </w:r>
      <w:r w:rsidR="00F97C26" w:rsidRPr="00053CD4">
        <w:rPr>
          <w:rFonts w:eastAsia="Times New Roman"/>
          <w:szCs w:val="24"/>
        </w:rPr>
        <w:t xml:space="preserve"> </w:t>
      </w:r>
      <w:r w:rsidRPr="00053CD4">
        <w:rPr>
          <w:rFonts w:eastAsia="Times New Roman"/>
          <w:szCs w:val="24"/>
        </w:rPr>
        <w:t xml:space="preserve">turpmāk tekstā </w:t>
      </w:r>
      <w:r w:rsidR="00053D9B" w:rsidRPr="00053CD4">
        <w:rPr>
          <w:rFonts w:eastAsia="Times New Roman"/>
          <w:szCs w:val="24"/>
        </w:rPr>
        <w:t xml:space="preserve">saukts </w:t>
      </w:r>
      <w:r w:rsidR="00330AD7" w:rsidRPr="00053CD4">
        <w:rPr>
          <w:rFonts w:eastAsia="Times New Roman"/>
          <w:szCs w:val="24"/>
        </w:rPr>
        <w:t>Obj</w:t>
      </w:r>
      <w:r w:rsidR="00236535" w:rsidRPr="00053CD4">
        <w:rPr>
          <w:rFonts w:eastAsia="Times New Roman"/>
          <w:szCs w:val="24"/>
        </w:rPr>
        <w:t>ekts</w:t>
      </w:r>
      <w:r w:rsidRPr="00053CD4">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77777777"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w:t>
      </w:r>
      <w:r w:rsidR="00005466" w:rsidRPr="009145CE">
        <w:rPr>
          <w:rFonts w:eastAsia="Times New Roman"/>
          <w:szCs w:val="24"/>
          <w:lang w:eastAsia="zh-CN"/>
        </w:rPr>
        <w:t xml:space="preserve">ilgāk kā </w:t>
      </w:r>
      <w:r w:rsidR="006A4BED" w:rsidRPr="009145CE">
        <w:rPr>
          <w:rFonts w:eastAsia="Times New Roman"/>
          <w:szCs w:val="24"/>
          <w:lang w:eastAsia="zh-CN"/>
        </w:rPr>
        <w:t>2</w:t>
      </w:r>
      <w:r w:rsidR="00A2210F" w:rsidRPr="009145CE">
        <w:rPr>
          <w:rFonts w:eastAsia="Times New Roman"/>
          <w:szCs w:val="24"/>
          <w:lang w:eastAsia="zh-CN"/>
        </w:rPr>
        <w:t xml:space="preserve"> (</w:t>
      </w:r>
      <w:r w:rsidR="006A4BED" w:rsidRPr="009145CE">
        <w:rPr>
          <w:rFonts w:eastAsia="Times New Roman"/>
          <w:szCs w:val="24"/>
          <w:lang w:eastAsia="zh-CN"/>
        </w:rPr>
        <w:t>divi</w:t>
      </w:r>
      <w:r w:rsidR="00A2210F" w:rsidRPr="009145CE">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77777777"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w:t>
      </w:r>
      <w:proofErr w:type="gramStart"/>
      <w:r w:rsidRPr="002533BF">
        <w:rPr>
          <w:rFonts w:eastAsia="Times New Roman"/>
          <w:szCs w:val="24"/>
          <w:lang w:eastAsia="zh-CN"/>
        </w:rPr>
        <w:t xml:space="preserve">  </w:t>
      </w:r>
      <w:proofErr w:type="gramEnd"/>
      <w:r w:rsidRPr="002533BF">
        <w:rPr>
          <w:rFonts w:eastAsia="Times New Roman"/>
          <w:szCs w:val="24"/>
          <w:lang w:eastAsia="zh-CN"/>
        </w:rPr>
        <w:t>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F3C80">
        <w:rPr>
          <w:rFonts w:eastAsia="Times New Roman"/>
          <w:szCs w:val="24"/>
          <w:lang w:eastAsia="zh-CN"/>
        </w:rPr>
        <w:t>, turpmāk tekstā</w:t>
      </w:r>
      <w:proofErr w:type="gramStart"/>
      <w:r w:rsidR="008F3C80">
        <w:rPr>
          <w:rFonts w:eastAsia="Times New Roman"/>
          <w:szCs w:val="24"/>
          <w:lang w:eastAsia="zh-CN"/>
        </w:rPr>
        <w:t xml:space="preserve">  </w:t>
      </w:r>
      <w:proofErr w:type="gramEnd"/>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77777777"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w:t>
      </w:r>
      <w:proofErr w:type="gramStart"/>
      <w:r w:rsidR="00A2210F" w:rsidRPr="007A1A1B">
        <w:rPr>
          <w:rFonts w:eastAsia="Times New Roman"/>
          <w:szCs w:val="24"/>
          <w:lang w:eastAsia="zh-CN"/>
        </w:rPr>
        <w:t xml:space="preserve">  </w:t>
      </w:r>
      <w:proofErr w:type="gramEnd"/>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proofErr w:type="gramStart"/>
      <w:r w:rsidRPr="00236535">
        <w:rPr>
          <w:rFonts w:eastAsia="Times New Roman"/>
          <w:szCs w:val="24"/>
          <w:lang w:eastAsia="zh-CN"/>
        </w:rPr>
        <w:t>noteiktajā saprātīgā termiņā</w:t>
      </w:r>
      <w:proofErr w:type="gramEnd"/>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0FFC6D5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00AD0AFC">
        <w:rPr>
          <w:rFonts w:eastAsia="Times New Roman"/>
          <w:szCs w:val="24"/>
          <w:lang w:eastAsia="zh-CN"/>
        </w:rPr>
        <w:t>3</w:t>
      </w:r>
      <w:r w:rsidR="00A2210F" w:rsidRPr="004976A0">
        <w:rPr>
          <w:rFonts w:eastAsia="Times New Roman"/>
          <w:szCs w:val="24"/>
          <w:lang w:eastAsia="zh-CN"/>
        </w:rPr>
        <w:t xml:space="preserve"> (</w:t>
      </w:r>
      <w:r w:rsidR="00AD0AFC">
        <w:rPr>
          <w:rFonts w:eastAsia="Times New Roman"/>
          <w:szCs w:val="24"/>
          <w:lang w:eastAsia="zh-CN"/>
        </w:rPr>
        <w:t>trīs</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186B2F4E"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99758D">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819EA"/>
    <w:rsid w:val="000A768C"/>
    <w:rsid w:val="000D28A3"/>
    <w:rsid w:val="000E3819"/>
    <w:rsid w:val="00113651"/>
    <w:rsid w:val="001E11AD"/>
    <w:rsid w:val="00236535"/>
    <w:rsid w:val="00236CAA"/>
    <w:rsid w:val="002533BF"/>
    <w:rsid w:val="003233D2"/>
    <w:rsid w:val="00323F9D"/>
    <w:rsid w:val="00325589"/>
    <w:rsid w:val="00330AD7"/>
    <w:rsid w:val="00344FD9"/>
    <w:rsid w:val="003F560B"/>
    <w:rsid w:val="004739D8"/>
    <w:rsid w:val="004976A0"/>
    <w:rsid w:val="004D1D9E"/>
    <w:rsid w:val="004E111F"/>
    <w:rsid w:val="004E4F51"/>
    <w:rsid w:val="00514177"/>
    <w:rsid w:val="005623FA"/>
    <w:rsid w:val="005A20A3"/>
    <w:rsid w:val="00624AEC"/>
    <w:rsid w:val="00696CC2"/>
    <w:rsid w:val="006A1F9B"/>
    <w:rsid w:val="006A4BED"/>
    <w:rsid w:val="006D5EBA"/>
    <w:rsid w:val="0071417E"/>
    <w:rsid w:val="00726C5D"/>
    <w:rsid w:val="00737D37"/>
    <w:rsid w:val="00790231"/>
    <w:rsid w:val="00796716"/>
    <w:rsid w:val="007A1A1B"/>
    <w:rsid w:val="007F6742"/>
    <w:rsid w:val="00827468"/>
    <w:rsid w:val="00893038"/>
    <w:rsid w:val="008972C5"/>
    <w:rsid w:val="008C521A"/>
    <w:rsid w:val="008F3C80"/>
    <w:rsid w:val="009040E8"/>
    <w:rsid w:val="00906FF8"/>
    <w:rsid w:val="009145CE"/>
    <w:rsid w:val="00935B62"/>
    <w:rsid w:val="00947814"/>
    <w:rsid w:val="00956320"/>
    <w:rsid w:val="00992F3D"/>
    <w:rsid w:val="0099758D"/>
    <w:rsid w:val="009D2FF2"/>
    <w:rsid w:val="009D727D"/>
    <w:rsid w:val="00A2210F"/>
    <w:rsid w:val="00A720F2"/>
    <w:rsid w:val="00AD0AFC"/>
    <w:rsid w:val="00AF599B"/>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A78F8"/>
    <w:rsid w:val="00ED2323"/>
    <w:rsid w:val="00F558AC"/>
    <w:rsid w:val="00F95874"/>
    <w:rsid w:val="00F97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29B8-6720-459A-9AB8-63CAC87D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1752</Words>
  <Characters>9991</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25</cp:revision>
  <cp:lastPrinted>2022-08-23T09:13:00Z</cp:lastPrinted>
  <dcterms:created xsi:type="dcterms:W3CDTF">2023-02-22T08:04:00Z</dcterms:created>
  <dcterms:modified xsi:type="dcterms:W3CDTF">2023-10-13T11:47:00Z</dcterms:modified>
</cp:coreProperties>
</file>